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1C0" w:rsidRDefault="0090187C">
      <w:pPr>
        <w:tabs>
          <w:tab w:val="right" w:pos="9216"/>
        </w:tabs>
        <w:spacing w:after="0"/>
        <w:jc w:val="left"/>
        <w:rPr>
          <w:rFonts w:ascii="Arial" w:hAnsi="Arial" w:cs="Arial"/>
          <w:kern w:val="2"/>
          <w:lang w:eastAsia="zh-CN"/>
        </w:rPr>
      </w:pPr>
      <w:bookmarkStart w:id="0" w:name="_Ref124589705"/>
      <w:bookmarkStart w:id="1" w:name="_Ref129681862"/>
      <w:proofErr w:type="spellStart"/>
      <w:r w:rsidRPr="0090187C">
        <w:rPr>
          <w:rFonts w:ascii="Arial" w:hAnsi="Arial"/>
          <w:b/>
          <w:lang w:eastAsia="ja-JP"/>
        </w:rPr>
        <w:t>3GPP</w:t>
      </w:r>
      <w:proofErr w:type="spellEnd"/>
      <w:r w:rsidRPr="0090187C">
        <w:rPr>
          <w:rFonts w:ascii="Arial" w:hAnsi="Arial"/>
          <w:b/>
          <w:lang w:eastAsia="ja-JP"/>
        </w:rPr>
        <w:t xml:space="preserve"> TSG RAN </w:t>
      </w:r>
      <w:proofErr w:type="spellStart"/>
      <w:r w:rsidRPr="0090187C">
        <w:rPr>
          <w:rFonts w:ascii="Arial" w:hAnsi="Arial"/>
          <w:b/>
          <w:lang w:eastAsia="ja-JP"/>
        </w:rPr>
        <w:t>WG1</w:t>
      </w:r>
      <w:proofErr w:type="spellEnd"/>
      <w:r w:rsidRPr="0090187C">
        <w:rPr>
          <w:rFonts w:ascii="Arial" w:hAnsi="Arial"/>
          <w:b/>
          <w:lang w:eastAsia="ja-JP"/>
        </w:rPr>
        <w:t xml:space="preserve"> #</w:t>
      </w:r>
      <w:proofErr w:type="spellStart"/>
      <w:r w:rsidRPr="0090187C">
        <w:rPr>
          <w:rFonts w:ascii="Arial" w:hAnsi="Arial"/>
          <w:b/>
          <w:lang w:eastAsia="ja-JP"/>
        </w:rPr>
        <w:t>110bis</w:t>
      </w:r>
      <w:proofErr w:type="spellEnd"/>
      <w:r w:rsidRPr="0090187C">
        <w:rPr>
          <w:rFonts w:ascii="Arial" w:hAnsi="Arial"/>
          <w:b/>
          <w:lang w:eastAsia="ja-JP"/>
        </w:rPr>
        <w:t>-e</w:t>
      </w:r>
      <w:r w:rsidR="00E124E1">
        <w:rPr>
          <w:rFonts w:ascii="Arial" w:hAnsi="Arial"/>
          <w:b/>
          <w:lang w:eastAsia="ja-JP"/>
        </w:rPr>
        <w:tab/>
        <w:t xml:space="preserve"> </w:t>
      </w:r>
      <w:r w:rsidR="00E124E1">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E124E1">
        <w:rPr>
          <w:rFonts w:ascii="Arial" w:hAnsi="Arial" w:cs="Arial" w:hint="eastAsia"/>
          <w:b/>
          <w:bCs/>
          <w:lang w:eastAsia="zh-CN"/>
        </w:rPr>
        <w:t xml:space="preserve">                                                      </w:t>
      </w:r>
      <w:r w:rsidR="00E124E1">
        <w:rPr>
          <w:rFonts w:ascii="Arial" w:hAnsi="Arial" w:cs="Arial"/>
          <w:b/>
          <w:bCs/>
          <w:lang w:eastAsia="zh-CN"/>
        </w:rPr>
        <w:t xml:space="preserve">         </w:t>
      </w:r>
      <w:proofErr w:type="spellStart"/>
      <w:r w:rsidR="00045FCA" w:rsidRPr="00045FCA">
        <w:rPr>
          <w:rFonts w:ascii="Arial" w:hAnsi="Arial" w:cs="Arial"/>
          <w:b/>
          <w:bCs/>
          <w:lang w:eastAsia="zh-CN"/>
        </w:rPr>
        <w:t>R1</w:t>
      </w:r>
      <w:proofErr w:type="spellEnd"/>
      <w:r w:rsidR="00045FCA" w:rsidRPr="00045FCA">
        <w:rPr>
          <w:rFonts w:ascii="Arial" w:hAnsi="Arial" w:cs="Arial"/>
          <w:b/>
          <w:bCs/>
          <w:lang w:eastAsia="zh-CN"/>
        </w:rPr>
        <w:t>-2208757</w:t>
      </w:r>
    </w:p>
    <w:p w:rsidR="00F061C0" w:rsidRDefault="0090187C">
      <w:pPr>
        <w:spacing w:after="200"/>
        <w:outlineLvl w:val="0"/>
        <w:rPr>
          <w:rFonts w:ascii="Arial" w:hAnsi="Arial"/>
          <w:b/>
          <w:lang w:eastAsia="ja-JP"/>
        </w:rPr>
      </w:pPr>
      <w:r w:rsidRPr="00DC3DEA">
        <w:rPr>
          <w:rFonts w:ascii="Arial" w:hAnsi="Arial"/>
          <w:b/>
        </w:rPr>
        <w:t>e-Meeting, October 10</w:t>
      </w:r>
      <w:r w:rsidRPr="00DC3DEA">
        <w:rPr>
          <w:rFonts w:ascii="Arial" w:hAnsi="Arial"/>
          <w:b/>
          <w:vertAlign w:val="superscript"/>
        </w:rPr>
        <w:t>th</w:t>
      </w:r>
      <w:r w:rsidRPr="00DC3DEA">
        <w:rPr>
          <w:rFonts w:ascii="Arial" w:hAnsi="Arial"/>
          <w:b/>
        </w:rPr>
        <w:t xml:space="preserve"> – 19</w:t>
      </w:r>
      <w:r w:rsidRPr="00DC3DEA">
        <w:rPr>
          <w:rFonts w:ascii="Arial" w:hAnsi="Arial"/>
          <w:b/>
          <w:vertAlign w:val="superscript"/>
        </w:rPr>
        <w:t>th</w:t>
      </w:r>
      <w:r w:rsidRPr="00DC3DEA">
        <w:rPr>
          <w:rFonts w:ascii="Arial" w:hAnsi="Arial"/>
          <w:b/>
        </w:rPr>
        <w:t>, 2022</w:t>
      </w:r>
    </w:p>
    <w:p w:rsidR="00F061C0" w:rsidRDefault="00E124E1">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reply LS </w:t>
      </w:r>
      <w:r w:rsidR="0090187C">
        <w:rPr>
          <w:rFonts w:ascii="Arial" w:hAnsi="Arial" w:cs="Arial"/>
        </w:rPr>
        <w:t xml:space="preserve">to </w:t>
      </w:r>
      <w:proofErr w:type="spellStart"/>
      <w:r w:rsidR="0090187C">
        <w:rPr>
          <w:rFonts w:ascii="Arial" w:hAnsi="Arial" w:cs="Arial"/>
        </w:rPr>
        <w:t>RAN4</w:t>
      </w:r>
      <w:proofErr w:type="spellEnd"/>
      <w:r w:rsidR="0090187C">
        <w:rPr>
          <w:rFonts w:ascii="Arial" w:hAnsi="Arial" w:cs="Arial"/>
        </w:rPr>
        <w:t xml:space="preserve"> </w:t>
      </w:r>
      <w:r>
        <w:rPr>
          <w:rFonts w:ascii="Arial" w:hAnsi="Arial" w:cs="Arial"/>
        </w:rPr>
        <w:t xml:space="preserve">on </w:t>
      </w:r>
      <w:r w:rsidR="0090187C">
        <w:rPr>
          <w:rFonts w:ascii="Arial" w:hAnsi="Arial" w:cs="Arial"/>
        </w:rPr>
        <w:t>active TCI state list for UL TCI</w:t>
      </w:r>
    </w:p>
    <w:p w:rsidR="00F061C0" w:rsidRDefault="00E124E1">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90187C" w:rsidRPr="0090187C">
        <w:rPr>
          <w:rFonts w:ascii="Arial" w:hAnsi="Arial" w:cs="Arial"/>
          <w:bCs/>
          <w:lang w:val="sv-SE" w:eastAsia="ko-KR"/>
        </w:rPr>
        <w:t>R4-2214972</w:t>
      </w:r>
    </w:p>
    <w:p w:rsidR="00F061C0" w:rsidRDefault="00E124E1">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F061C0" w:rsidRDefault="00E124E1">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F061C0" w:rsidRDefault="00F061C0">
      <w:pPr>
        <w:spacing w:after="60"/>
        <w:ind w:left="1985" w:hanging="1985"/>
        <w:rPr>
          <w:rFonts w:ascii="Arial" w:hAnsi="Arial" w:cs="Arial"/>
          <w:b/>
        </w:rPr>
      </w:pPr>
      <w:bookmarkStart w:id="2" w:name="_GoBack"/>
      <w:bookmarkEnd w:id="2"/>
    </w:p>
    <w:p w:rsidR="00F061C0" w:rsidRDefault="00E124E1">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F061C0" w:rsidRDefault="00E124E1">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w:t>
      </w:r>
      <w:r w:rsidR="00F50092">
        <w:rPr>
          <w:rFonts w:ascii="Arial" w:hAnsi="Arial" w:cs="Arial"/>
          <w:bCs/>
        </w:rPr>
        <w:t>4</w:t>
      </w:r>
      <w:proofErr w:type="spellEnd"/>
    </w:p>
    <w:p w:rsidR="00F50092" w:rsidRDefault="00F50092" w:rsidP="00F50092">
      <w:pPr>
        <w:spacing w:after="60"/>
        <w:ind w:left="1985" w:hanging="1985"/>
        <w:outlineLvl w:val="0"/>
        <w:rPr>
          <w:rFonts w:ascii="Arial" w:hAnsi="Arial" w:cs="Arial"/>
          <w:bCs/>
        </w:rPr>
      </w:pPr>
      <w:r>
        <w:rPr>
          <w:rFonts w:ascii="Arial" w:hAnsi="Arial" w:cs="Arial"/>
          <w:b/>
        </w:rPr>
        <w:t>CC:</w:t>
      </w:r>
      <w:r>
        <w:rPr>
          <w:rFonts w:ascii="Arial" w:hAnsi="Arial" w:cs="Arial"/>
          <w:bCs/>
        </w:rPr>
        <w:tab/>
        <w:t>RAN2</w:t>
      </w:r>
    </w:p>
    <w:p w:rsidR="00F061C0" w:rsidRDefault="00F061C0">
      <w:pPr>
        <w:spacing w:after="60"/>
        <w:ind w:left="1985" w:hanging="1985"/>
        <w:rPr>
          <w:rFonts w:ascii="Arial" w:hAnsi="Arial" w:cs="Arial"/>
          <w:bCs/>
        </w:rPr>
      </w:pPr>
    </w:p>
    <w:p w:rsidR="00F061C0" w:rsidRDefault="00E124E1">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F061C0" w:rsidRDefault="00E124E1">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F061C0" w:rsidRDefault="00E124E1">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F061C0" w:rsidRDefault="00F061C0">
      <w:pPr>
        <w:pBdr>
          <w:bottom w:val="single" w:sz="4" w:space="1" w:color="auto"/>
        </w:pBdr>
        <w:spacing w:after="0"/>
        <w:jc w:val="left"/>
        <w:rPr>
          <w:b/>
          <w:sz w:val="16"/>
          <w:szCs w:val="16"/>
          <w:lang w:eastAsia="zh-CN"/>
        </w:rPr>
      </w:pPr>
    </w:p>
    <w:bookmarkEnd w:id="0"/>
    <w:bookmarkEnd w:id="1"/>
    <w:p w:rsidR="00F061C0" w:rsidRDefault="00F061C0">
      <w:pPr>
        <w:pStyle w:val="References"/>
        <w:numPr>
          <w:ilvl w:val="0"/>
          <w:numId w:val="0"/>
        </w:numPr>
        <w:tabs>
          <w:tab w:val="left" w:pos="420"/>
        </w:tabs>
        <w:adjustRightInd w:val="0"/>
        <w:spacing w:after="0"/>
        <w:ind w:left="450" w:hanging="360"/>
        <w:rPr>
          <w:lang w:eastAsia="zh-CN"/>
        </w:rPr>
      </w:pPr>
    </w:p>
    <w:p w:rsidR="00F061C0" w:rsidRDefault="00E124E1">
      <w:pPr>
        <w:outlineLvl w:val="0"/>
        <w:rPr>
          <w:rFonts w:ascii="Arial" w:hAnsi="Arial" w:cs="Arial"/>
          <w:b/>
        </w:rPr>
      </w:pPr>
      <w:r>
        <w:rPr>
          <w:rFonts w:ascii="Arial" w:hAnsi="Arial" w:cs="Arial"/>
          <w:b/>
        </w:rPr>
        <w:t>1. Overall Description:</w:t>
      </w:r>
    </w:p>
    <w:p w:rsidR="00F061C0" w:rsidRPr="00DD2A27" w:rsidRDefault="00E124E1">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like to thank </w:t>
      </w:r>
      <w:proofErr w:type="spellStart"/>
      <w:r>
        <w:rPr>
          <w:bCs/>
          <w:sz w:val="20"/>
          <w:szCs w:val="20"/>
          <w:lang w:eastAsia="zh-CN"/>
        </w:rPr>
        <w:t>RAN</w:t>
      </w:r>
      <w:r w:rsidR="0090187C">
        <w:rPr>
          <w:bCs/>
          <w:sz w:val="20"/>
          <w:szCs w:val="20"/>
          <w:lang w:eastAsia="zh-CN"/>
        </w:rPr>
        <w:t>4</w:t>
      </w:r>
      <w:proofErr w:type="spellEnd"/>
      <w:r>
        <w:rPr>
          <w:bCs/>
          <w:sz w:val="20"/>
          <w:szCs w:val="20"/>
          <w:lang w:eastAsia="zh-CN"/>
        </w:rPr>
        <w:t xml:space="preserve"> for LS </w:t>
      </w:r>
      <w:proofErr w:type="spellStart"/>
      <w:r>
        <w:rPr>
          <w:bCs/>
          <w:sz w:val="20"/>
          <w:szCs w:val="20"/>
          <w:lang w:eastAsia="zh-CN"/>
        </w:rPr>
        <w:t>R</w:t>
      </w:r>
      <w:r w:rsidR="0090187C">
        <w:rPr>
          <w:bCs/>
          <w:sz w:val="20"/>
          <w:szCs w:val="20"/>
          <w:lang w:eastAsia="zh-CN"/>
        </w:rPr>
        <w:t>4</w:t>
      </w:r>
      <w:proofErr w:type="spellEnd"/>
      <w:r>
        <w:rPr>
          <w:bCs/>
          <w:sz w:val="20"/>
          <w:szCs w:val="20"/>
          <w:lang w:eastAsia="zh-CN"/>
        </w:rPr>
        <w:t>-22</w:t>
      </w:r>
      <w:r w:rsidR="0090187C">
        <w:rPr>
          <w:bCs/>
          <w:sz w:val="20"/>
          <w:szCs w:val="20"/>
          <w:lang w:eastAsia="zh-CN"/>
        </w:rPr>
        <w:t>14972</w:t>
      </w:r>
      <w:r>
        <w:rPr>
          <w:bCs/>
          <w:sz w:val="20"/>
          <w:szCs w:val="20"/>
          <w:lang w:eastAsia="zh-CN"/>
        </w:rPr>
        <w:t xml:space="preserve"> on </w:t>
      </w:r>
      <w:r w:rsidR="0090187C">
        <w:rPr>
          <w:bCs/>
          <w:sz w:val="20"/>
          <w:szCs w:val="20"/>
          <w:lang w:eastAsia="zh-CN"/>
        </w:rPr>
        <w:t>active TCI state list for UL TCI</w:t>
      </w:r>
      <w:r>
        <w:rPr>
          <w:bCs/>
          <w:sz w:val="20"/>
          <w:szCs w:val="20"/>
          <w:lang w:eastAsia="zh-CN"/>
        </w:rPr>
        <w:t>.</w:t>
      </w:r>
      <w:r>
        <w:rPr>
          <w:rFonts w:hint="eastAsia"/>
          <w:bCs/>
          <w:sz w:val="20"/>
          <w:szCs w:val="20"/>
          <w:lang w:eastAsia="zh-CN"/>
        </w:rPr>
        <w:t xml:space="preserve"> </w:t>
      </w:r>
      <w:r>
        <w:rPr>
          <w:bCs/>
          <w:sz w:val="20"/>
          <w:szCs w:val="20"/>
          <w:lang w:eastAsia="zh-CN"/>
        </w:rPr>
        <w:t xml:space="preserve">In the LS, </w:t>
      </w:r>
      <w:proofErr w:type="spellStart"/>
      <w:r>
        <w:rPr>
          <w:bCs/>
          <w:sz w:val="20"/>
          <w:szCs w:val="20"/>
          <w:lang w:eastAsia="zh-CN"/>
        </w:rPr>
        <w:t>RAN</w:t>
      </w:r>
      <w:r w:rsidR="0090187C">
        <w:rPr>
          <w:bCs/>
          <w:sz w:val="20"/>
          <w:szCs w:val="20"/>
          <w:lang w:eastAsia="zh-CN"/>
        </w:rPr>
        <w:t>4</w:t>
      </w:r>
      <w:proofErr w:type="spellEnd"/>
      <w:r>
        <w:rPr>
          <w:bCs/>
          <w:sz w:val="20"/>
          <w:szCs w:val="20"/>
          <w:lang w:eastAsia="zh-CN"/>
        </w:rPr>
        <w:t xml:space="preserve"> had provided several </w:t>
      </w:r>
      <w:r w:rsidRPr="00DD2A27">
        <w:rPr>
          <w:bCs/>
          <w:sz w:val="20"/>
          <w:szCs w:val="20"/>
          <w:lang w:eastAsia="zh-CN"/>
        </w:rPr>
        <w:t xml:space="preserve">questions as follows, and </w:t>
      </w:r>
      <w:proofErr w:type="spellStart"/>
      <w:r w:rsidRPr="00DD2A27">
        <w:rPr>
          <w:bCs/>
          <w:sz w:val="20"/>
          <w:szCs w:val="20"/>
          <w:lang w:eastAsia="zh-CN"/>
        </w:rPr>
        <w:t>RAN1</w:t>
      </w:r>
      <w:proofErr w:type="spellEnd"/>
      <w:r w:rsidRPr="00DD2A27">
        <w:rPr>
          <w:bCs/>
          <w:sz w:val="20"/>
          <w:szCs w:val="20"/>
          <w:lang w:eastAsia="zh-CN"/>
        </w:rPr>
        <w:t xml:space="preserve"> replies to each of questions, respectively.</w:t>
      </w:r>
    </w:p>
    <w:p w:rsidR="00F061C0" w:rsidRPr="00DD2A27" w:rsidRDefault="00F061C0">
      <w:pPr>
        <w:rPr>
          <w:bCs/>
          <w:sz w:val="20"/>
          <w:szCs w:val="20"/>
          <w:lang w:eastAsia="zh-CN"/>
        </w:rPr>
      </w:pPr>
    </w:p>
    <w:p w:rsidR="0090187C" w:rsidRPr="00DD2A27" w:rsidRDefault="0090187C" w:rsidP="0090187C">
      <w:pPr>
        <w:spacing w:before="72" w:after="72"/>
        <w:rPr>
          <w:rFonts w:eastAsia="Times New Roman"/>
          <w:sz w:val="20"/>
          <w:szCs w:val="20"/>
        </w:rPr>
      </w:pPr>
      <w:r w:rsidRPr="00DD2A27">
        <w:rPr>
          <w:rFonts w:eastAsia="Times New Roman"/>
          <w:b/>
          <w:sz w:val="20"/>
          <w:szCs w:val="20"/>
        </w:rPr>
        <w:t>Question 1</w:t>
      </w:r>
      <w:r w:rsidRPr="00DD2A27">
        <w:rPr>
          <w:rFonts w:eastAsia="Times New Roman"/>
          <w:sz w:val="20"/>
          <w:szCs w:val="20"/>
        </w:rPr>
        <w:t xml:space="preserve">: What is the relationship between  </w:t>
      </w:r>
      <m:oMath>
        <m:sSub>
          <m:sSubPr>
            <m:ctrlPr>
              <w:rPr>
                <w:rFonts w:ascii="Cambria Math" w:eastAsia="MS Mincho" w:hAnsi="Cambria Math"/>
                <w:i/>
                <w:sz w:val="20"/>
                <w:szCs w:val="20"/>
              </w:rPr>
            </m:ctrlPr>
          </m:sSubPr>
          <m:e>
            <m:r>
              <w:rPr>
                <w:rFonts w:ascii="Cambria Math" w:eastAsia="MS Mincho" w:hAnsi="Cambria Math"/>
                <w:sz w:val="20"/>
                <w:szCs w:val="20"/>
              </w:rPr>
              <m:t>q</m:t>
            </m:r>
          </m:e>
          <m:sub>
            <m:r>
              <w:rPr>
                <w:rFonts w:ascii="Cambria Math" w:eastAsia="MS Mincho" w:hAnsi="Cambria Math"/>
                <w:sz w:val="20"/>
                <w:szCs w:val="20"/>
              </w:rPr>
              <m:t>d</m:t>
            </m:r>
          </m:sub>
        </m:sSub>
      </m:oMath>
      <w:r w:rsidRPr="00DD2A27">
        <w:rPr>
          <w:rFonts w:eastAsia="Times New Roman"/>
          <w:sz w:val="20"/>
          <w:szCs w:val="20"/>
        </w:rPr>
        <w:t xml:space="preserve"> and active UL (or joint) TCI state list? How does network configure the </w:t>
      </w:r>
      <w:r w:rsidRPr="00DD2A27">
        <w:rPr>
          <w:rFonts w:eastAsia="MS Mincho"/>
          <w:sz w:val="20"/>
          <w:szCs w:val="20"/>
        </w:rPr>
        <w:t>RS resource indexes</w:t>
      </w:r>
      <w:r w:rsidRPr="00DD2A27">
        <w:rPr>
          <w:rFonts w:eastAsia="Times New Roman"/>
          <w:sz w:val="20"/>
          <w:szCs w:val="20"/>
        </w:rPr>
        <w:t xml:space="preserve"> </w:t>
      </w:r>
      <m:oMath>
        <m:sSub>
          <m:sSubPr>
            <m:ctrlPr>
              <w:rPr>
                <w:rFonts w:ascii="Cambria Math" w:eastAsia="MS Mincho" w:hAnsi="Cambria Math"/>
                <w:i/>
                <w:sz w:val="20"/>
                <w:szCs w:val="20"/>
              </w:rPr>
            </m:ctrlPr>
          </m:sSubPr>
          <m:e>
            <m:r>
              <w:rPr>
                <w:rFonts w:ascii="Cambria Math" w:eastAsia="MS Mincho" w:hAnsi="Cambria Math"/>
                <w:sz w:val="20"/>
                <w:szCs w:val="20"/>
              </w:rPr>
              <m:t>q</m:t>
            </m:r>
          </m:e>
          <m:sub>
            <m:r>
              <w:rPr>
                <w:rFonts w:ascii="Cambria Math" w:eastAsia="MS Mincho" w:hAnsi="Cambria Math"/>
                <w:sz w:val="20"/>
                <w:szCs w:val="20"/>
              </w:rPr>
              <m:t>d</m:t>
            </m:r>
          </m:sub>
        </m:sSub>
      </m:oMath>
      <w:r w:rsidRPr="00DD2A27">
        <w:rPr>
          <w:rFonts w:eastAsia="Times New Roman"/>
          <w:sz w:val="20"/>
          <w:szCs w:val="20"/>
        </w:rPr>
        <w:t xml:space="preserve"> ?</w:t>
      </w:r>
    </w:p>
    <w:p w:rsidR="00DD2A27" w:rsidRPr="00DD2A27" w:rsidRDefault="0090187C" w:rsidP="0090187C">
      <w:pPr>
        <w:spacing w:before="72" w:after="72"/>
        <w:rPr>
          <w:rFonts w:eastAsia="Times New Roman"/>
          <w:sz w:val="20"/>
          <w:szCs w:val="20"/>
        </w:rPr>
      </w:pPr>
      <w:r w:rsidRPr="00DD2A27">
        <w:rPr>
          <w:rFonts w:eastAsia="Times New Roman"/>
          <w:b/>
          <w:sz w:val="20"/>
          <w:szCs w:val="20"/>
        </w:rPr>
        <w:t>Answers to Question 1:</w:t>
      </w:r>
      <w:r w:rsidRPr="00DD2A27">
        <w:rPr>
          <w:rFonts w:eastAsia="Times New Roman"/>
          <w:sz w:val="20"/>
          <w:szCs w:val="20"/>
        </w:rPr>
        <w:t xml:space="preserve"> </w:t>
      </w:r>
    </w:p>
    <w:p w:rsidR="0090187C" w:rsidRPr="00DD2A27" w:rsidRDefault="0090187C" w:rsidP="0090187C">
      <w:pPr>
        <w:spacing w:before="72" w:after="72"/>
        <w:rPr>
          <w:rFonts w:eastAsia="Times New Roman"/>
          <w:sz w:val="20"/>
          <w:szCs w:val="20"/>
        </w:rPr>
      </w:pPr>
      <w:proofErr w:type="spellStart"/>
      <w:r w:rsidRPr="00DD2A27">
        <w:rPr>
          <w:rFonts w:eastAsia="Times New Roman"/>
          <w:sz w:val="20"/>
          <w:szCs w:val="20"/>
        </w:rPr>
        <w:t>RAN1</w:t>
      </w:r>
      <w:proofErr w:type="spellEnd"/>
      <w:r w:rsidRPr="00DD2A27">
        <w:rPr>
          <w:rFonts w:eastAsia="Times New Roman"/>
          <w:sz w:val="20"/>
          <w:szCs w:val="20"/>
        </w:rPr>
        <w:t xml:space="preserve"> confirms that </w:t>
      </w:r>
      <w:proofErr w:type="spellStart"/>
      <w:r w:rsidRPr="00DD2A27">
        <w:rPr>
          <w:i/>
          <w:sz w:val="20"/>
          <w:szCs w:val="20"/>
        </w:rPr>
        <w:t>q</w:t>
      </w:r>
      <w:r w:rsidRPr="00DD2A27">
        <w:rPr>
          <w:i/>
          <w:sz w:val="20"/>
          <w:szCs w:val="20"/>
          <w:vertAlign w:val="subscript"/>
        </w:rPr>
        <w:t>d</w:t>
      </w:r>
      <w:proofErr w:type="spellEnd"/>
      <w:r w:rsidRPr="00DD2A27">
        <w:rPr>
          <w:sz w:val="20"/>
          <w:szCs w:val="20"/>
        </w:rPr>
        <w:t xml:space="preserve"> in TS 38.213 refers to active PL RS</w:t>
      </w:r>
      <w:r w:rsidR="003A0640">
        <w:rPr>
          <w:sz w:val="20"/>
          <w:szCs w:val="20"/>
        </w:rPr>
        <w:t>(s)</w:t>
      </w:r>
      <w:r w:rsidRPr="00DD2A27">
        <w:rPr>
          <w:sz w:val="20"/>
          <w:szCs w:val="20"/>
        </w:rPr>
        <w:t xml:space="preserve"> (involving being-used PL-RS) for UL </w:t>
      </w:r>
      <w:proofErr w:type="spellStart"/>
      <w:r w:rsidRPr="00DD2A27">
        <w:rPr>
          <w:iCs/>
          <w:sz w:val="20"/>
          <w:szCs w:val="20"/>
        </w:rPr>
        <w:t>PUSCH</w:t>
      </w:r>
      <w:proofErr w:type="spellEnd"/>
      <w:r w:rsidRPr="00DD2A27">
        <w:rPr>
          <w:iCs/>
          <w:sz w:val="20"/>
          <w:szCs w:val="20"/>
        </w:rPr>
        <w:t>/</w:t>
      </w:r>
      <w:proofErr w:type="spellStart"/>
      <w:r w:rsidRPr="00DD2A27">
        <w:rPr>
          <w:iCs/>
          <w:sz w:val="20"/>
          <w:szCs w:val="20"/>
        </w:rPr>
        <w:t>PUCCH</w:t>
      </w:r>
      <w:proofErr w:type="spellEnd"/>
      <w:r w:rsidRPr="00DD2A27">
        <w:rPr>
          <w:iCs/>
          <w:sz w:val="20"/>
          <w:szCs w:val="20"/>
        </w:rPr>
        <w:t xml:space="preserve">/SRS transmissions. </w:t>
      </w:r>
      <w:r w:rsidRPr="00DD2A27">
        <w:rPr>
          <w:rFonts w:eastAsia="Times New Roman"/>
          <w:sz w:val="20"/>
          <w:szCs w:val="20"/>
        </w:rPr>
        <w:t xml:space="preserve">The </w:t>
      </w:r>
      <w:r w:rsidRPr="00DD2A27">
        <w:rPr>
          <w:rFonts w:eastAsia="MS Mincho"/>
          <w:sz w:val="20"/>
          <w:szCs w:val="20"/>
        </w:rPr>
        <w:t>RS resource indexes</w:t>
      </w:r>
      <w:r w:rsidRPr="00DD2A27">
        <w:rPr>
          <w:rFonts w:eastAsia="Times New Roman"/>
          <w:sz w:val="20"/>
          <w:szCs w:val="20"/>
        </w:rPr>
        <w:t xml:space="preserve"> </w:t>
      </w:r>
      <m:oMath>
        <m:sSub>
          <m:sSubPr>
            <m:ctrlPr>
              <w:rPr>
                <w:rFonts w:ascii="Cambria Math" w:eastAsia="MS Mincho" w:hAnsi="Cambria Math"/>
                <w:i/>
                <w:sz w:val="20"/>
                <w:szCs w:val="20"/>
              </w:rPr>
            </m:ctrlPr>
          </m:sSubPr>
          <m:e>
            <m:r>
              <w:rPr>
                <w:rFonts w:ascii="Cambria Math" w:eastAsia="MS Mincho" w:hAnsi="Cambria Math"/>
                <w:sz w:val="20"/>
                <w:szCs w:val="20"/>
              </w:rPr>
              <m:t>q</m:t>
            </m:r>
          </m:e>
          <m:sub>
            <m:r>
              <w:rPr>
                <w:rFonts w:ascii="Cambria Math" w:eastAsia="MS Mincho" w:hAnsi="Cambria Math"/>
                <w:sz w:val="20"/>
                <w:szCs w:val="20"/>
              </w:rPr>
              <m:t>d</m:t>
            </m:r>
          </m:sub>
        </m:sSub>
      </m:oMath>
      <w:r w:rsidRPr="00DD2A27">
        <w:rPr>
          <w:rFonts w:eastAsia="Times New Roman"/>
          <w:sz w:val="20"/>
          <w:szCs w:val="20"/>
        </w:rPr>
        <w:t xml:space="preserve"> can be explicitly associated with </w:t>
      </w:r>
      <w:r w:rsidRPr="00DD2A27">
        <w:rPr>
          <w:sz w:val="20"/>
          <w:szCs w:val="20"/>
        </w:rPr>
        <w:t xml:space="preserve">UL (or joint) TCI state(s) for unified TCI by </w:t>
      </w:r>
      <w:proofErr w:type="spellStart"/>
      <w:r w:rsidRPr="00DD2A27">
        <w:rPr>
          <w:sz w:val="20"/>
          <w:szCs w:val="20"/>
        </w:rPr>
        <w:t>RRC</w:t>
      </w:r>
      <w:proofErr w:type="spellEnd"/>
      <w:r w:rsidRPr="00DD2A27">
        <w:rPr>
          <w:sz w:val="20"/>
          <w:szCs w:val="20"/>
        </w:rPr>
        <w:t xml:space="preserve">.  </w:t>
      </w:r>
    </w:p>
    <w:p w:rsidR="0090187C" w:rsidRPr="00DD2A27" w:rsidRDefault="0090187C" w:rsidP="0090187C">
      <w:pPr>
        <w:spacing w:before="72" w:after="72"/>
        <w:rPr>
          <w:rFonts w:eastAsia="Times New Roman"/>
          <w:sz w:val="20"/>
          <w:szCs w:val="20"/>
        </w:rPr>
      </w:pPr>
    </w:p>
    <w:p w:rsidR="0090187C" w:rsidRPr="00DD2A27" w:rsidRDefault="0090187C" w:rsidP="0090187C">
      <w:pPr>
        <w:spacing w:before="72" w:after="72"/>
        <w:rPr>
          <w:rFonts w:eastAsia="Times New Roman"/>
          <w:sz w:val="20"/>
          <w:szCs w:val="20"/>
        </w:rPr>
      </w:pPr>
      <w:r w:rsidRPr="00DD2A27">
        <w:rPr>
          <w:rFonts w:eastAsia="Times New Roman"/>
          <w:b/>
          <w:sz w:val="20"/>
          <w:szCs w:val="20"/>
        </w:rPr>
        <w:t>Question 2</w:t>
      </w:r>
      <w:r w:rsidRPr="00DD2A27">
        <w:rPr>
          <w:rFonts w:eastAsia="Times New Roman"/>
          <w:sz w:val="20"/>
          <w:szCs w:val="20"/>
        </w:rPr>
        <w:t>: Is UE expected to maintain the pathloss RSs of all the pathloss reference RS in the active UL (or joint) TCI list?</w:t>
      </w:r>
    </w:p>
    <w:p w:rsidR="00DD2A27" w:rsidRPr="00DD2A27" w:rsidRDefault="0090187C" w:rsidP="0090187C">
      <w:pPr>
        <w:spacing w:before="72" w:after="72"/>
        <w:rPr>
          <w:rFonts w:eastAsia="Times New Roman"/>
          <w:sz w:val="20"/>
          <w:szCs w:val="20"/>
        </w:rPr>
      </w:pPr>
      <w:r w:rsidRPr="00DD2A27">
        <w:rPr>
          <w:rFonts w:eastAsia="Times New Roman"/>
          <w:b/>
          <w:sz w:val="20"/>
          <w:szCs w:val="20"/>
        </w:rPr>
        <w:t xml:space="preserve">Answers to Question </w:t>
      </w:r>
      <w:r w:rsidR="00DD2A27" w:rsidRPr="00DD2A27">
        <w:rPr>
          <w:rFonts w:eastAsia="Times New Roman"/>
          <w:b/>
          <w:sz w:val="20"/>
          <w:szCs w:val="20"/>
        </w:rPr>
        <w:t>2</w:t>
      </w:r>
      <w:r w:rsidRPr="00DD2A27">
        <w:rPr>
          <w:rFonts w:eastAsia="Times New Roman"/>
          <w:b/>
          <w:sz w:val="20"/>
          <w:szCs w:val="20"/>
        </w:rPr>
        <w:t>:</w:t>
      </w:r>
      <w:r w:rsidRPr="00DD2A27">
        <w:rPr>
          <w:rFonts w:eastAsia="Times New Roman"/>
          <w:sz w:val="20"/>
          <w:szCs w:val="20"/>
        </w:rPr>
        <w:t xml:space="preserve"> </w:t>
      </w:r>
    </w:p>
    <w:p w:rsidR="0090187C" w:rsidRPr="00DD2A27" w:rsidRDefault="0090187C" w:rsidP="0090187C">
      <w:pPr>
        <w:spacing w:before="72" w:after="72"/>
        <w:rPr>
          <w:rFonts w:eastAsia="Times New Roman"/>
          <w:sz w:val="20"/>
          <w:szCs w:val="20"/>
        </w:rPr>
      </w:pPr>
      <w:r w:rsidRPr="00DD2A27">
        <w:rPr>
          <w:rFonts w:eastAsia="Times New Roman"/>
          <w:sz w:val="20"/>
          <w:szCs w:val="20"/>
        </w:rPr>
        <w:t xml:space="preserve">No. Only first 4 path-loss RS(s) in the active UL (or joint) TCI state(s) are maintained, and for </w:t>
      </w:r>
      <w:r w:rsidR="003A0640">
        <w:rPr>
          <w:rFonts w:eastAsia="Times New Roman"/>
          <w:sz w:val="20"/>
          <w:szCs w:val="20"/>
        </w:rPr>
        <w:t xml:space="preserve">the rest, if any, </w:t>
      </w:r>
      <w:r w:rsidRPr="00DD2A27">
        <w:rPr>
          <w:rFonts w:eastAsia="Times New Roman"/>
          <w:sz w:val="20"/>
          <w:szCs w:val="20"/>
        </w:rPr>
        <w:t xml:space="preserve">the UE does not need to maintain them. </w:t>
      </w:r>
    </w:p>
    <w:p w:rsidR="0090187C" w:rsidRPr="00DD2A27" w:rsidRDefault="0090187C" w:rsidP="0090187C">
      <w:pPr>
        <w:spacing w:before="72" w:after="72"/>
        <w:rPr>
          <w:rFonts w:eastAsia="Times New Roman"/>
          <w:sz w:val="20"/>
          <w:szCs w:val="20"/>
        </w:rPr>
      </w:pPr>
      <w:r w:rsidRPr="00DD2A27">
        <w:rPr>
          <w:sz w:val="20"/>
          <w:szCs w:val="20"/>
        </w:rPr>
        <w:t xml:space="preserve">  </w:t>
      </w:r>
    </w:p>
    <w:p w:rsidR="0090187C" w:rsidRPr="00DD2A27" w:rsidRDefault="0090187C" w:rsidP="0090187C">
      <w:pPr>
        <w:rPr>
          <w:rFonts w:eastAsia="Times New Roman"/>
          <w:sz w:val="20"/>
          <w:szCs w:val="20"/>
        </w:rPr>
      </w:pPr>
      <w:r w:rsidRPr="00DD2A27">
        <w:rPr>
          <w:rFonts w:eastAsia="Times New Roman"/>
          <w:b/>
          <w:sz w:val="20"/>
          <w:szCs w:val="20"/>
        </w:rPr>
        <w:t>Question 3</w:t>
      </w:r>
      <w:r w:rsidRPr="00DD2A27">
        <w:rPr>
          <w:rFonts w:eastAsia="Times New Roman"/>
          <w:sz w:val="20"/>
          <w:szCs w:val="20"/>
        </w:rPr>
        <w:t>: What is the UE behavior when number of active UL (or joint) TCI states is larger than 4 if corresponding pathloss RSs need to be maintained?</w:t>
      </w:r>
    </w:p>
    <w:p w:rsidR="00DD2A27" w:rsidRPr="00DD2A27" w:rsidRDefault="0090187C" w:rsidP="0090187C">
      <w:pPr>
        <w:spacing w:before="72" w:after="72"/>
        <w:rPr>
          <w:rFonts w:eastAsia="Times New Roman"/>
          <w:sz w:val="20"/>
          <w:szCs w:val="20"/>
        </w:rPr>
      </w:pPr>
      <w:r w:rsidRPr="00DD2A27">
        <w:rPr>
          <w:rFonts w:eastAsia="Times New Roman"/>
          <w:b/>
          <w:sz w:val="20"/>
          <w:szCs w:val="20"/>
        </w:rPr>
        <w:t xml:space="preserve">Answers to Question </w:t>
      </w:r>
      <w:r w:rsidR="00DD2A27" w:rsidRPr="00DD2A27">
        <w:rPr>
          <w:rFonts w:eastAsia="Times New Roman"/>
          <w:b/>
          <w:sz w:val="20"/>
          <w:szCs w:val="20"/>
        </w:rPr>
        <w:t>3</w:t>
      </w:r>
      <w:r w:rsidRPr="00DD2A27">
        <w:rPr>
          <w:rFonts w:eastAsia="Times New Roman"/>
          <w:b/>
          <w:sz w:val="20"/>
          <w:szCs w:val="20"/>
        </w:rPr>
        <w:t>:</w:t>
      </w:r>
      <w:r w:rsidRPr="00DD2A27">
        <w:rPr>
          <w:rFonts w:eastAsia="Times New Roman"/>
          <w:sz w:val="20"/>
          <w:szCs w:val="20"/>
        </w:rPr>
        <w:t xml:space="preserve"> </w:t>
      </w:r>
    </w:p>
    <w:p w:rsidR="0090187C" w:rsidRPr="00DD2A27" w:rsidRDefault="0090187C" w:rsidP="0090187C">
      <w:pPr>
        <w:spacing w:before="72" w:after="72"/>
        <w:rPr>
          <w:rFonts w:eastAsia="Times New Roman"/>
          <w:sz w:val="20"/>
          <w:szCs w:val="20"/>
        </w:rPr>
      </w:pPr>
      <w:proofErr w:type="spellStart"/>
      <w:r w:rsidRPr="00DD2A27">
        <w:rPr>
          <w:rFonts w:eastAsia="Times New Roman"/>
          <w:sz w:val="20"/>
          <w:szCs w:val="20"/>
        </w:rPr>
        <w:t>RAN1</w:t>
      </w:r>
      <w:proofErr w:type="spellEnd"/>
      <w:r w:rsidRPr="00DD2A27">
        <w:rPr>
          <w:rFonts w:eastAsia="Times New Roman"/>
          <w:sz w:val="20"/>
          <w:szCs w:val="20"/>
        </w:rPr>
        <w:t xml:space="preserve"> confirms that when number of active UL (or joint) TCI states is larger than 4</w:t>
      </w:r>
      <w:r w:rsidR="003A0640">
        <w:rPr>
          <w:rFonts w:eastAsia="Times New Roman"/>
          <w:sz w:val="20"/>
          <w:szCs w:val="20"/>
        </w:rPr>
        <w:t>, and</w:t>
      </w:r>
      <w:r w:rsidRPr="00DD2A27">
        <w:rPr>
          <w:rFonts w:eastAsia="Times New Roman"/>
          <w:sz w:val="20"/>
          <w:szCs w:val="20"/>
        </w:rPr>
        <w:t xml:space="preserve"> if corresponding pathloss RS</w:t>
      </w:r>
      <w:r w:rsidR="003A0640">
        <w:rPr>
          <w:rFonts w:eastAsia="Times New Roman"/>
          <w:sz w:val="20"/>
          <w:szCs w:val="20"/>
        </w:rPr>
        <w:t xml:space="preserve"> of indicated TCI state is not</w:t>
      </w:r>
      <w:r w:rsidRPr="00DD2A27">
        <w:rPr>
          <w:rFonts w:eastAsia="Times New Roman"/>
          <w:sz w:val="20"/>
          <w:szCs w:val="20"/>
        </w:rPr>
        <w:t xml:space="preserve"> maintained, the following in the case of NM = 1, as specified in Section 8.14.3 in TS 38.133</w:t>
      </w:r>
      <w:r w:rsidR="00DD2A27">
        <w:rPr>
          <w:rFonts w:eastAsia="Times New Roman"/>
          <w:sz w:val="20"/>
          <w:szCs w:val="20"/>
        </w:rPr>
        <w:t>,</w:t>
      </w:r>
      <w:r w:rsidRPr="00DD2A27">
        <w:rPr>
          <w:rFonts w:eastAsia="Times New Roman"/>
          <w:sz w:val="20"/>
          <w:szCs w:val="20"/>
        </w:rPr>
        <w:t xml:space="preserve"> is reused.</w:t>
      </w:r>
      <w:r w:rsidRPr="00DD2A27">
        <w:rPr>
          <w:rFonts w:eastAsia="微软雅黑"/>
          <w:b/>
          <w:i/>
          <w:sz w:val="20"/>
          <w:szCs w:val="20"/>
        </w:rPr>
        <w:t xml:space="preserve"> </w:t>
      </w:r>
    </w:p>
    <w:p w:rsidR="00DD2A27" w:rsidRPr="00DD2A27" w:rsidRDefault="0090187C" w:rsidP="00DD2A27">
      <w:pPr>
        <w:pStyle w:val="ListParagraph"/>
        <w:widowControl w:val="0"/>
        <w:numPr>
          <w:ilvl w:val="0"/>
          <w:numId w:val="10"/>
        </w:numPr>
        <w:spacing w:beforeLines="30" w:before="72" w:afterLines="50" w:after="120" w:line="300" w:lineRule="auto"/>
        <w:rPr>
          <w:rFonts w:eastAsia="微软雅黑"/>
        </w:rPr>
      </w:pPr>
      <w:r w:rsidRPr="00DD2A27">
        <w:rPr>
          <w:rFonts w:eastAsia="宋体"/>
        </w:rPr>
        <w:t xml:space="preserve">UE shall be able to apply the target pathloss reference signal of the serving cell on which pathloss reference signal switch occurs no later than the slot </w:t>
      </w:r>
      <w:r w:rsidRPr="00DD2A27">
        <w:t xml:space="preserve">n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DD2A27">
        <w:t>+</w:t>
      </w:r>
      <m:oMath>
        <m:r>
          <m:rPr>
            <m:sty m:val="p"/>
          </m:rPr>
          <w:rPr>
            <w:rFonts w:ascii="Cambria Math" w:eastAsia="宋体"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D2A27">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target_PL-RS</m:t>
                    </m:r>
                  </m:sub>
                </m:sSub>
                <m:r>
                  <m:rPr>
                    <m:sty m:val="p"/>
                  </m:rPr>
                  <w:rPr>
                    <w:rFonts w:ascii="Cambria Math" w:hAnsi="Cambria Math"/>
                  </w:rPr>
                  <m:t xml:space="preserve"> + 2ms</m:t>
                </m:r>
              </m:num>
              <m:den>
                <m:r>
                  <m:rPr>
                    <m:sty m:val="p"/>
                  </m:rPr>
                  <w:rPr>
                    <w:rFonts w:ascii="Cambria Math" w:hAnsi="Cambria Math"/>
                  </w:rPr>
                  <m:t>NR slot length</m:t>
                </m:r>
              </m:den>
            </m:f>
          </m:e>
        </m:d>
      </m:oMath>
      <w:r w:rsidRPr="00DD2A27">
        <w:rPr>
          <w:rFonts w:eastAsia="宋体"/>
        </w:rPr>
        <w:t>.</w:t>
      </w:r>
      <w:r w:rsidR="00DD2A27">
        <w:rPr>
          <w:rFonts w:eastAsia="宋体"/>
        </w:rPr>
        <w:t xml:space="preserve"> </w:t>
      </w:r>
      <w:r w:rsidR="00DD2A27" w:rsidRPr="00DD2A27">
        <w:rPr>
          <w:rFonts w:eastAsia="宋体"/>
          <w:lang w:eastAsia="zh-CN"/>
        </w:rPr>
        <w:t xml:space="preserve">The UE shall be able to apply old pathloss reference signals until the slot n + </w:t>
      </w:r>
      <m:oMath>
        <m:sSub>
          <m:sSubPr>
            <m:ctrlPr>
              <w:rPr>
                <w:rFonts w:ascii="Cambria Math" w:eastAsia="宋体" w:hAnsi="Cambria Math"/>
                <w:lang w:eastAsia="zh-CN"/>
              </w:rPr>
            </m:ctrlPr>
          </m:sSubPr>
          <m:e>
            <m:r>
              <m:rPr>
                <m:sty m:val="p"/>
              </m:rPr>
              <w:rPr>
                <w:rFonts w:ascii="Cambria Math" w:eastAsia="宋体" w:hAnsi="Cambria Math"/>
              </w:rPr>
              <m:t>T</m:t>
            </m:r>
          </m:e>
          <m:sub>
            <m:r>
              <m:rPr>
                <m:sty m:val="p"/>
              </m:rPr>
              <w:rPr>
                <w:rFonts w:ascii="Cambria Math" w:eastAsia="宋体" w:hAnsi="Cambria Math"/>
              </w:rPr>
              <m:t>HARQ</m:t>
            </m:r>
          </m:sub>
        </m:sSub>
      </m:oMath>
      <w:r w:rsidR="00DD2A27" w:rsidRPr="00DD2A27">
        <w:rPr>
          <w:rFonts w:eastAsia="宋体"/>
          <w:lang w:eastAsia="zh-CN"/>
        </w:rPr>
        <w:t xml:space="preserve">+ </w:t>
      </w:r>
      <m:oMath>
        <m:r>
          <m:rPr>
            <m:sty m:val="p"/>
          </m:rPr>
          <w:rPr>
            <w:rFonts w:ascii="Cambria Math" w:eastAsia="宋体" w:hAnsi="Cambria Math"/>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00DD2A27" w:rsidRPr="00DD2A27">
        <w:rPr>
          <w:rFonts w:eastAsia="宋体"/>
          <w:lang w:eastAsia="zh-CN"/>
        </w:rPr>
        <w:t>.</w:t>
      </w:r>
    </w:p>
    <w:p w:rsidR="00AD7E1F" w:rsidRPr="00AD7E1F" w:rsidRDefault="00AD7E1F" w:rsidP="00AD7E1F">
      <w:pPr>
        <w:pStyle w:val="ListParagraph"/>
        <w:widowControl w:val="0"/>
        <w:spacing w:beforeLines="30" w:before="72" w:afterLines="50" w:after="120" w:line="300" w:lineRule="auto"/>
        <w:rPr>
          <w:rFonts w:eastAsia="微软雅黑"/>
        </w:rPr>
      </w:pPr>
    </w:p>
    <w:p w:rsidR="00F061C0" w:rsidRDefault="00E124E1">
      <w:pPr>
        <w:outlineLvl w:val="0"/>
        <w:rPr>
          <w:rFonts w:ascii="Arial" w:hAnsi="Arial" w:cs="Arial"/>
          <w:b/>
        </w:rPr>
      </w:pPr>
      <w:r>
        <w:rPr>
          <w:rFonts w:ascii="Arial" w:hAnsi="Arial" w:cs="Arial"/>
          <w:b/>
        </w:rPr>
        <w:t>2. Actions:</w:t>
      </w:r>
    </w:p>
    <w:p w:rsidR="00F061C0" w:rsidRDefault="00E124E1">
      <w:pPr>
        <w:ind w:left="1985" w:hanging="1985"/>
        <w:outlineLvl w:val="0"/>
        <w:rPr>
          <w:rFonts w:ascii="Arial" w:hAnsi="Arial" w:cs="Arial"/>
          <w:b/>
          <w:lang w:eastAsia="zh-CN"/>
        </w:rPr>
      </w:pPr>
      <w:r>
        <w:rPr>
          <w:rFonts w:ascii="Arial" w:hAnsi="Arial" w:cs="Arial"/>
          <w:b/>
        </w:rPr>
        <w:lastRenderedPageBreak/>
        <w:t>To</w:t>
      </w:r>
      <w:r>
        <w:rPr>
          <w:rFonts w:ascii="Arial" w:hAnsi="Arial" w:cs="Arial"/>
          <w:b/>
          <w:lang w:eastAsia="zh-CN"/>
        </w:rPr>
        <w:t xml:space="preserve"> </w:t>
      </w:r>
      <w:proofErr w:type="spellStart"/>
      <w:r>
        <w:rPr>
          <w:rFonts w:ascii="Arial" w:hAnsi="Arial" w:cs="Arial"/>
          <w:b/>
          <w:lang w:eastAsia="zh-CN"/>
        </w:rPr>
        <w:t>RAN</w:t>
      </w:r>
      <w:r w:rsidR="0090187C">
        <w:rPr>
          <w:rFonts w:ascii="Arial" w:hAnsi="Arial" w:cs="Arial"/>
          <w:b/>
          <w:lang w:eastAsia="zh-CN"/>
        </w:rPr>
        <w:t>4</w:t>
      </w:r>
      <w:proofErr w:type="spellEnd"/>
      <w:r>
        <w:rPr>
          <w:rFonts w:ascii="Arial" w:hAnsi="Arial" w:cs="Arial"/>
          <w:b/>
          <w:lang w:eastAsia="zh-CN"/>
        </w:rPr>
        <w:t xml:space="preserve"> group</w:t>
      </w:r>
    </w:p>
    <w:p w:rsidR="00F061C0" w:rsidRDefault="00E124E1">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sidR="0090187C">
        <w:rPr>
          <w:sz w:val="20"/>
          <w:szCs w:val="20"/>
        </w:rPr>
        <w:t>4</w:t>
      </w:r>
      <w:proofErr w:type="spellEnd"/>
      <w:r>
        <w:rPr>
          <w:rFonts w:hint="eastAsia"/>
          <w:sz w:val="20"/>
          <w:szCs w:val="20"/>
        </w:rPr>
        <w:t xml:space="preserve"> to take the above information into consideration.</w:t>
      </w:r>
    </w:p>
    <w:p w:rsidR="00F061C0" w:rsidRDefault="00F061C0">
      <w:pPr>
        <w:tabs>
          <w:tab w:val="left" w:pos="5507"/>
        </w:tabs>
        <w:rPr>
          <w:rFonts w:ascii="Arial" w:hAnsi="Arial" w:cs="Arial"/>
          <w:b/>
        </w:rPr>
      </w:pPr>
    </w:p>
    <w:p w:rsidR="00F061C0" w:rsidRDefault="00E124E1">
      <w:pPr>
        <w:tabs>
          <w:tab w:val="left" w:pos="5507"/>
        </w:tabs>
        <w:outlineLvl w:val="0"/>
        <w:rPr>
          <w:rFonts w:ascii="Arial" w:hAnsi="Arial" w:cs="Arial"/>
          <w:b/>
        </w:rPr>
      </w:pPr>
      <w:r>
        <w:rPr>
          <w:rFonts w:ascii="Arial" w:hAnsi="Arial" w:cs="Arial"/>
          <w:b/>
        </w:rPr>
        <w:t xml:space="preserve">3. Date of Next TSG-RAN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F061C0" w:rsidRPr="00F37873" w:rsidRDefault="00F37873" w:rsidP="00F37873">
      <w:pPr>
        <w:tabs>
          <w:tab w:val="left" w:pos="5103"/>
        </w:tabs>
        <w:ind w:left="2268" w:hanging="2268"/>
        <w:rPr>
          <w:rFonts w:ascii="Arial" w:hAnsi="Arial" w:cs="Arial"/>
          <w:bCs/>
          <w:sz w:val="20"/>
          <w:szCs w:val="20"/>
        </w:rPr>
      </w:pPr>
      <w:r w:rsidRPr="00F37873">
        <w:rPr>
          <w:rFonts w:ascii="Arial" w:hAnsi="Arial" w:cs="Arial"/>
          <w:bCs/>
          <w:sz w:val="20"/>
          <w:szCs w:val="20"/>
        </w:rPr>
        <w:t xml:space="preserve">TSG </w:t>
      </w:r>
      <w:proofErr w:type="spellStart"/>
      <w:r w:rsidRPr="00F37873">
        <w:rPr>
          <w:rFonts w:ascii="Arial" w:hAnsi="Arial" w:cs="Arial"/>
          <w:bCs/>
          <w:sz w:val="20"/>
          <w:szCs w:val="20"/>
        </w:rPr>
        <w:t>WG</w:t>
      </w:r>
      <w:proofErr w:type="spellEnd"/>
      <w:r w:rsidRPr="00F37873">
        <w:rPr>
          <w:rFonts w:ascii="Arial" w:hAnsi="Arial" w:cs="Arial"/>
          <w:bCs/>
          <w:sz w:val="20"/>
          <w:szCs w:val="20"/>
        </w:rPr>
        <w:t xml:space="preserve"> </w:t>
      </w:r>
      <w:proofErr w:type="spellStart"/>
      <w:r w:rsidRPr="00F37873">
        <w:rPr>
          <w:rFonts w:ascii="Arial" w:hAnsi="Arial" w:cs="Arial"/>
          <w:bCs/>
          <w:sz w:val="20"/>
          <w:szCs w:val="20"/>
        </w:rPr>
        <w:t>RAN1</w:t>
      </w:r>
      <w:proofErr w:type="spellEnd"/>
      <w:r w:rsidRPr="00F37873">
        <w:rPr>
          <w:rFonts w:ascii="Arial" w:hAnsi="Arial" w:cs="Arial"/>
          <w:bCs/>
          <w:sz w:val="20"/>
          <w:szCs w:val="20"/>
        </w:rPr>
        <w:t xml:space="preserve"> #111</w:t>
      </w:r>
      <w:r w:rsidRPr="00F37873">
        <w:rPr>
          <w:rFonts w:ascii="Arial" w:hAnsi="Arial" w:cs="Arial"/>
          <w:bCs/>
          <w:sz w:val="20"/>
          <w:szCs w:val="20"/>
        </w:rPr>
        <w:tab/>
      </w:r>
      <w:r w:rsidRPr="00F37873">
        <w:rPr>
          <w:rFonts w:ascii="Arial" w:hAnsi="Arial" w:cs="Arial"/>
          <w:bCs/>
          <w:sz w:val="20"/>
          <w:szCs w:val="20"/>
        </w:rPr>
        <w:tab/>
        <w:t>14</w:t>
      </w:r>
      <w:r w:rsidRPr="00F37873">
        <w:rPr>
          <w:rFonts w:ascii="Arial" w:hAnsi="Arial" w:cs="Arial"/>
          <w:bCs/>
          <w:sz w:val="20"/>
          <w:szCs w:val="20"/>
          <w:vertAlign w:val="superscript"/>
        </w:rPr>
        <w:t>th</w:t>
      </w:r>
      <w:r w:rsidRPr="00F37873">
        <w:rPr>
          <w:rFonts w:ascii="Arial" w:hAnsi="Arial" w:cs="Arial"/>
          <w:bCs/>
          <w:sz w:val="20"/>
          <w:szCs w:val="20"/>
        </w:rPr>
        <w:t xml:space="preserve"> – 18</w:t>
      </w:r>
      <w:r w:rsidRPr="00F37873">
        <w:rPr>
          <w:rFonts w:ascii="Arial" w:hAnsi="Arial" w:cs="Arial"/>
          <w:bCs/>
          <w:sz w:val="20"/>
          <w:szCs w:val="20"/>
          <w:vertAlign w:val="superscript"/>
        </w:rPr>
        <w:t>th</w:t>
      </w:r>
      <w:r w:rsidRPr="00F37873">
        <w:rPr>
          <w:rFonts w:ascii="Arial" w:hAnsi="Arial" w:cs="Arial"/>
          <w:bCs/>
          <w:sz w:val="20"/>
          <w:szCs w:val="20"/>
        </w:rPr>
        <w:t xml:space="preserve"> November 2022</w:t>
      </w:r>
      <w:r w:rsidRPr="00F37873">
        <w:rPr>
          <w:rFonts w:ascii="Arial" w:hAnsi="Arial" w:cs="Arial"/>
          <w:bCs/>
          <w:sz w:val="20"/>
          <w:szCs w:val="20"/>
        </w:rPr>
        <w:tab/>
      </w:r>
      <w:r w:rsidR="00045FCA">
        <w:rPr>
          <w:rFonts w:ascii="Arial" w:hAnsi="Arial" w:cs="Arial"/>
          <w:bCs/>
          <w:sz w:val="20"/>
          <w:szCs w:val="20"/>
        </w:rPr>
        <w:tab/>
      </w:r>
      <w:r w:rsidRPr="00F37873">
        <w:rPr>
          <w:rFonts w:ascii="Arial" w:hAnsi="Arial" w:cs="Arial"/>
          <w:bCs/>
          <w:sz w:val="20"/>
          <w:szCs w:val="20"/>
        </w:rPr>
        <w:t>Toulouse</w:t>
      </w:r>
    </w:p>
    <w:sectPr w:rsidR="00F061C0" w:rsidRPr="00F37873">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1A3" w:rsidRDefault="006101A3">
      <w:pPr>
        <w:spacing w:after="0" w:line="240" w:lineRule="auto"/>
      </w:pPr>
      <w:r>
        <w:separator/>
      </w:r>
    </w:p>
  </w:endnote>
  <w:endnote w:type="continuationSeparator" w:id="0">
    <w:p w:rsidR="006101A3" w:rsidRDefault="00610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1A3" w:rsidRDefault="006101A3">
      <w:pPr>
        <w:spacing w:after="0" w:line="240" w:lineRule="auto"/>
      </w:pPr>
      <w:r>
        <w:separator/>
      </w:r>
    </w:p>
  </w:footnote>
  <w:footnote w:type="continuationSeparator" w:id="0">
    <w:p w:rsidR="006101A3" w:rsidRDefault="00610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1C0" w:rsidRDefault="00F061C0">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6E73595"/>
    <w:multiLevelType w:val="hybridMultilevel"/>
    <w:tmpl w:val="3BDE063A"/>
    <w:lvl w:ilvl="0" w:tplc="E65E53B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64916796"/>
    <w:multiLevelType w:val="hybridMultilevel"/>
    <w:tmpl w:val="8FECDEF2"/>
    <w:lvl w:ilvl="0" w:tplc="DD10458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9"/>
  </w:num>
  <w:num w:numId="5">
    <w:abstractNumId w:val="8"/>
  </w:num>
  <w:num w:numId="6">
    <w:abstractNumId w:val="7"/>
  </w:num>
  <w:num w:numId="7">
    <w:abstractNumId w:val="5"/>
  </w:num>
  <w:num w:numId="8">
    <w:abstractNumId w:val="2"/>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196C5A"/>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848413E"/>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DF90A51"/>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01B3C06-871C-426E-ABDA-9894406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05748">
      <w:bodyDiv w:val="1"/>
      <w:marLeft w:val="0"/>
      <w:marRight w:val="0"/>
      <w:marTop w:val="0"/>
      <w:marBottom w:val="0"/>
      <w:divBdr>
        <w:top w:val="none" w:sz="0" w:space="0" w:color="auto"/>
        <w:left w:val="none" w:sz="0" w:space="0" w:color="auto"/>
        <w:bottom w:val="none" w:sz="0" w:space="0" w:color="auto"/>
        <w:right w:val="none" w:sz="0" w:space="0" w:color="auto"/>
      </w:divBdr>
    </w:div>
    <w:div w:id="333849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B64A1-F994-41EC-82AD-FA0D588D8C2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B14A0E8-31D9-4D8F-95E0-4AA1E379B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17</cp:revision>
  <cp:lastPrinted>2018-01-11T06:12:00Z</cp:lastPrinted>
  <dcterms:created xsi:type="dcterms:W3CDTF">2022-02-12T03:39:00Z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